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益阳</w:t>
      </w:r>
      <w:r>
        <w:rPr>
          <w:rFonts w:hint="eastAsia" w:ascii="黑体" w:hAnsi="黑体" w:eastAsia="黑体" w:cs="黑体"/>
          <w:sz w:val="32"/>
          <w:szCs w:val="32"/>
        </w:rPr>
        <w:t>职业技术学院202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生考试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职业技能测试Ⅱ（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财经商贸</w:t>
      </w:r>
      <w:r>
        <w:rPr>
          <w:rFonts w:hint="eastAsia" w:ascii="黑体" w:hAnsi="黑体" w:eastAsia="黑体" w:cs="黑体"/>
          <w:sz w:val="32"/>
          <w:szCs w:val="32"/>
        </w:rPr>
        <w:t>大类）考试大纲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根据湖南省教育厅《关于做好202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年高职院校单独招生工作的通知》(湘教发﹝202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49</w:t>
      </w:r>
      <w:r>
        <w:rPr>
          <w:rFonts w:hint="eastAsia" w:ascii="仿宋" w:hAnsi="仿宋" w:eastAsia="仿宋" w:cs="仿宋"/>
          <w:sz w:val="28"/>
          <w:szCs w:val="28"/>
        </w:rPr>
        <w:t>号)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《益阳职业技术学院202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单招章程</w:t>
      </w:r>
      <w:r>
        <w:rPr>
          <w:rFonts w:hint="eastAsia" w:ascii="仿宋" w:hAnsi="仿宋" w:eastAsia="仿宋" w:cs="仿宋"/>
          <w:sz w:val="28"/>
          <w:szCs w:val="28"/>
        </w:rPr>
        <w:t>》文件精神，为方便考生了解单独招生考试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更好的复习迎考，</w:t>
      </w:r>
      <w:r>
        <w:rPr>
          <w:rFonts w:hint="eastAsia" w:ascii="仿宋" w:hAnsi="仿宋" w:eastAsia="仿宋" w:cs="仿宋"/>
          <w:sz w:val="28"/>
          <w:szCs w:val="28"/>
        </w:rPr>
        <w:t>特制定本考试大纲。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一、适用对象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适用于报考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益阳职业技术学院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和第三类</w:t>
      </w:r>
      <w:r>
        <w:rPr>
          <w:rFonts w:hint="eastAsia" w:ascii="仿宋" w:hAnsi="仿宋" w:eastAsia="仿宋" w:cs="仿宋"/>
          <w:sz w:val="28"/>
          <w:szCs w:val="28"/>
        </w:rPr>
        <w:t>考生。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二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适用专业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1.电子商务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2.移动商务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3.农村电子商务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4.网络营销与直播电商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5.大数据与财务管理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6.大数据与会计专业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三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考试内容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（一）职业素养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1.安全素养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0" w:firstLineChars="200"/>
        <w:jc w:val="both"/>
        <w:textAlignment w:val="auto"/>
        <w:rPr>
          <w:rFonts w:hint="default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具有网络伦理道德与信息安全意识。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2.劳动素养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0" w:firstLineChars="200"/>
        <w:jc w:val="both"/>
        <w:textAlignment w:val="auto"/>
        <w:rPr>
          <w:rFonts w:hint="default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具备责任心和吃苦耐劳的劳动精神与劳模精神；</w:t>
      </w:r>
      <w:r>
        <w:rPr>
          <w:rFonts w:hint="default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具备服务意识，秉承楚怡职业教育精神</w:t>
      </w: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3.职业作风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0" w:firstLineChars="200"/>
        <w:jc w:val="both"/>
        <w:textAlignment w:val="auto"/>
        <w:rPr>
          <w:rFonts w:hint="default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具备财经商贸各行业人员要具备的基础岗位能力；具有语言表达、理解能力；具有服务乡村产业振兴的使命感与爱农情怀;具备经世济民、诚信服务、德法兼修的职业修养。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（二）职业技能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1.技能1商科基础知识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（1）电子商务的基本概念与交易模式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（2）直播电商与传统电商的区别及优势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直播间管理规范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及违规操作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（4）客户异议类型及话术的选择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（5）商品关键字的选择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（6）物流方式的选择与应用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（7）市场营销基本概念与营销策略的应用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2.技能2大数据与财务管理基础知识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（1）基础会计、财务管理的概念与应用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（2）会计的职能与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证书认知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货币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小写金额书写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（4）会计职业道德规范的基本内容、与会计法律的区别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（5）大数据的涵义和发展历程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（6）大数据对会计行业的影响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、考试形式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考试方式为闭卷笔试，总分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0分，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其中职业素养60分，职业技能240分，</w:t>
      </w:r>
      <w:r>
        <w:rPr>
          <w:rFonts w:hint="eastAsia" w:ascii="仿宋" w:hAnsi="仿宋" w:eastAsia="仿宋" w:cs="仿宋"/>
          <w:sz w:val="28"/>
          <w:szCs w:val="28"/>
        </w:rPr>
        <w:t>总时限为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MmY1NDlmZmQzZjY5Mzk1NmExOGNiYmNmYWNmNzUifQ=="/>
  </w:docVars>
  <w:rsids>
    <w:rsidRoot w:val="00000000"/>
    <w:rsid w:val="08E237F0"/>
    <w:rsid w:val="7C0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651</Words>
  <Characters>681</Characters>
  <Paragraphs>43</Paragraphs>
  <TotalTime>23</TotalTime>
  <ScaleCrop>false</ScaleCrop>
  <LinksUpToDate>false</LinksUpToDate>
  <CharactersWithSpaces>681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2023-02-09T03:56:00Z</dcterms:created>
  <dc:creator>Administrator</dc:creator>
  <cp:lastModifiedBy>唐波</cp:lastModifiedBy>
  <dcterms:modified xsi:type="dcterms:W3CDTF">2024-02-06T01:57:46Z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90821E1BF2DE4E90A8789DD44B03CFDB_13</vt:lpwstr>
  </property>
</Properties>
</file>